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A" w:rsidRPr="0083650B" w:rsidRDefault="00DE3DDA" w:rsidP="00DE3DDA">
      <w:pPr>
        <w:jc w:val="center"/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ПОЛОЖЕНИЕ</w:t>
      </w:r>
    </w:p>
    <w:p w:rsidR="00DE3DDA" w:rsidRPr="0083650B" w:rsidRDefault="00DE3DDA" w:rsidP="00DE3DDA">
      <w:pPr>
        <w:jc w:val="center"/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о проведении детского Кубка по хоккею с шайбой</w:t>
      </w:r>
    </w:p>
    <w:p w:rsidR="00DE3DDA" w:rsidRPr="0083650B" w:rsidRDefault="00DE3DDA" w:rsidP="00DE3DDA">
      <w:pPr>
        <w:jc w:val="center"/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« Добрый лёд»</w:t>
      </w: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1.</w:t>
      </w:r>
      <w:r w:rsidRPr="0083650B">
        <w:rPr>
          <w:rFonts w:cs="Arial"/>
          <w:b/>
          <w:color w:val="000000"/>
        </w:rPr>
        <w:tab/>
      </w:r>
      <w:r w:rsidRPr="0083650B">
        <w:rPr>
          <w:rFonts w:ascii="Times New Roman" w:hAnsi="Times New Roman" w:cs="Times New Roman"/>
          <w:b/>
          <w:color w:val="000000"/>
        </w:rPr>
        <w:t>Цели и задачи Соревнования: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1.1. Кубок  по хоккею с шайбой среди юниоров «Добрый лёд» проводится с целью: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пропаганды и развития детско-юношеского хоккея;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привлечения детей и подростков к систематическим занятиям спортом;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повышения уровня спортивного мастерства хоккеистов;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выявления одаренных юных хоккеистов для пополнения резерва российского хоккея.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2. Руководство Соревнованием: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2.1. Общее руководство организацией Соревнования осуществляют: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— Благотворительный фонд Елены и Геннадия Тимченко (</w:t>
      </w:r>
      <w:r w:rsidRPr="0083650B">
        <w:rPr>
          <w:rFonts w:ascii="Times New Roman" w:hAnsi="Times New Roman" w:cs="Times New Roman"/>
          <w:i/>
          <w:color w:val="000000"/>
        </w:rPr>
        <w:t>далее — Фонд</w:t>
      </w:r>
      <w:r w:rsidRPr="0083650B">
        <w:rPr>
          <w:rFonts w:ascii="Times New Roman" w:hAnsi="Times New Roman" w:cs="Times New Roman"/>
          <w:color w:val="000000"/>
        </w:rPr>
        <w:t>);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— Ассоциация спортивных исследований по хоккею с шайбой (</w:t>
      </w:r>
      <w:r w:rsidRPr="0083650B">
        <w:rPr>
          <w:rFonts w:ascii="Times New Roman" w:hAnsi="Times New Roman" w:cs="Times New Roman"/>
          <w:i/>
          <w:color w:val="000000"/>
        </w:rPr>
        <w:t>далее — Ассоциация</w:t>
      </w:r>
      <w:r w:rsidRPr="0083650B">
        <w:rPr>
          <w:rFonts w:ascii="Times New Roman" w:hAnsi="Times New Roman" w:cs="Times New Roman"/>
          <w:color w:val="000000"/>
        </w:rPr>
        <w:t>) и организационный комитет Соревнования и входящая в его состав главная судейская коллегия (</w:t>
      </w:r>
      <w:r w:rsidRPr="0083650B">
        <w:rPr>
          <w:rFonts w:ascii="Times New Roman" w:hAnsi="Times New Roman" w:cs="Times New Roman"/>
          <w:i/>
          <w:color w:val="000000"/>
        </w:rPr>
        <w:t>далее — Оргкомитет и ГСК</w:t>
      </w:r>
      <w:r w:rsidRPr="0083650B">
        <w:rPr>
          <w:rFonts w:ascii="Times New Roman" w:hAnsi="Times New Roman" w:cs="Times New Roman"/>
          <w:color w:val="000000"/>
        </w:rPr>
        <w:t>, соответственно), формируемые Ассоциацией и утверждаемые Фондом;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— Органы исполнительной власти в области физической культуры и спорта и местные Федерации хоккея регионов, участвующих в Соревновании (</w:t>
      </w:r>
      <w:r w:rsidRPr="0083650B">
        <w:rPr>
          <w:rFonts w:ascii="Times New Roman" w:hAnsi="Times New Roman" w:cs="Times New Roman"/>
          <w:i/>
          <w:color w:val="000000"/>
        </w:rPr>
        <w:t xml:space="preserve">далее — Комитет по </w:t>
      </w:r>
      <w:proofErr w:type="spellStart"/>
      <w:r w:rsidRPr="0083650B">
        <w:rPr>
          <w:rFonts w:ascii="Times New Roman" w:hAnsi="Times New Roman" w:cs="Times New Roman"/>
          <w:i/>
          <w:color w:val="000000"/>
        </w:rPr>
        <w:t>ФКиС</w:t>
      </w:r>
      <w:proofErr w:type="spellEnd"/>
      <w:r w:rsidRPr="0083650B">
        <w:rPr>
          <w:rFonts w:ascii="Times New Roman" w:hAnsi="Times New Roman" w:cs="Times New Roman"/>
          <w:i/>
          <w:color w:val="000000"/>
        </w:rPr>
        <w:t xml:space="preserve"> и региональная Федерация хоккея </w:t>
      </w:r>
      <w:r w:rsidRPr="0083650B">
        <w:rPr>
          <w:rFonts w:ascii="Times New Roman" w:hAnsi="Times New Roman" w:cs="Times New Roman"/>
          <w:color w:val="000000"/>
        </w:rPr>
        <w:t>соответственно).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2.2. Непосредственную организацию и проведение Соревнования осуществляют: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на региональном этапе — судейские коллегии региональных Федераций хоккея;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на межрегиональном этапе — Оргкомитет и ГСК;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на финальном этапе — Оргкомитет и ГСК.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3.</w:t>
      </w:r>
      <w:r w:rsidRPr="0083650B">
        <w:rPr>
          <w:rFonts w:cs="Arial"/>
          <w:b/>
          <w:color w:val="000000"/>
        </w:rPr>
        <w:tab/>
      </w:r>
      <w:r w:rsidRPr="0083650B">
        <w:rPr>
          <w:rFonts w:ascii="Times New Roman" w:hAnsi="Times New Roman" w:cs="Times New Roman"/>
          <w:b/>
          <w:color w:val="000000"/>
        </w:rPr>
        <w:t>Структура и сроки проведения Соревнования: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3.1. В Соревновании 2016 года принимают участие команды шести регионов Северо-Западного Федерального округа и четырех регионов Дальневосточного Федерального округа, по 4 команды от каждого региона. Участие региона в Соревновании определяется и утверждается Оргкомитетом.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3.2. Соревнование проводится в три этапа: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I этап: — Региональный этап (апрель-май 2016 года)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 xml:space="preserve"> Место проведения</w:t>
      </w:r>
      <w:r w:rsidRPr="0083650B">
        <w:rPr>
          <w:rFonts w:ascii="Times New Roman" w:hAnsi="Times New Roman" w:cs="Times New Roman"/>
          <w:b/>
          <w:color w:val="000000"/>
        </w:rPr>
        <w:tab/>
        <w:t>Сроки проведения</w:t>
      </w:r>
      <w:r w:rsidRPr="0083650B">
        <w:rPr>
          <w:rFonts w:ascii="Times New Roman" w:hAnsi="Times New Roman" w:cs="Times New Roman"/>
          <w:b/>
          <w:color w:val="000000"/>
        </w:rPr>
        <w:tab/>
        <w:t>Возраст участников</w:t>
      </w:r>
      <w:r w:rsidRPr="0083650B">
        <w:rPr>
          <w:rFonts w:ascii="Times New Roman" w:hAnsi="Times New Roman" w:cs="Times New Roman"/>
          <w:b/>
          <w:color w:val="000000"/>
        </w:rPr>
        <w:tab/>
        <w:t>Количество участников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 xml:space="preserve"> СЗФО</w:t>
      </w:r>
      <w:r w:rsidRPr="0083650B"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83650B">
        <w:rPr>
          <w:rFonts w:ascii="Times New Roman" w:hAnsi="Times New Roman" w:cs="Times New Roman"/>
          <w:color w:val="000000"/>
        </w:rPr>
        <w:t xml:space="preserve">апрель-май </w:t>
      </w:r>
      <w:r w:rsidRPr="0083650B">
        <w:rPr>
          <w:rFonts w:ascii="Times New Roman" w:hAnsi="Times New Roman" w:cs="Times New Roman"/>
          <w:color w:val="000000"/>
        </w:rPr>
        <w:tab/>
        <w:t xml:space="preserve"> 11-12 лет </w:t>
      </w:r>
      <w:r w:rsidRPr="0083650B">
        <w:rPr>
          <w:rFonts w:ascii="Times New Roman" w:hAnsi="Times New Roman" w:cs="Times New Roman"/>
          <w:color w:val="000000"/>
        </w:rPr>
        <w:tab/>
        <w:t xml:space="preserve"> 6 регионов/24 команды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 xml:space="preserve"> ДВФО</w:t>
      </w:r>
      <w:r w:rsidRPr="0083650B">
        <w:rPr>
          <w:rFonts w:ascii="Times New Roman" w:hAnsi="Times New Roman" w:cs="Times New Roman"/>
          <w:color w:val="000000"/>
        </w:rPr>
        <w:tab/>
        <w:t xml:space="preserve"> апрель-май</w:t>
      </w:r>
      <w:r w:rsidRPr="0083650B">
        <w:rPr>
          <w:rFonts w:ascii="Times New Roman" w:hAnsi="Times New Roman" w:cs="Times New Roman"/>
          <w:color w:val="000000"/>
        </w:rPr>
        <w:tab/>
        <w:t xml:space="preserve"> 11-12 лет</w:t>
      </w:r>
      <w:r w:rsidRPr="0083650B">
        <w:rPr>
          <w:rFonts w:ascii="Times New Roman" w:hAnsi="Times New Roman" w:cs="Times New Roman"/>
          <w:color w:val="000000"/>
        </w:rPr>
        <w:tab/>
        <w:t xml:space="preserve"> 4 региона/16 команд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 xml:space="preserve">Орган исполнительной власти в области физической культуры и спорта и Федерация хоккея региона, который принимает участие в Соревновании, в срок до 1 апреля 2016 года определяет состав участников местного этапа, составляет календарь матчей этапа и направляет в Оргкомитет Соревнования для утверждения. Отчет о проведении этапа и протоколы матчей, судейские коллегии региональных Федераций хоккея представляют на </w:t>
      </w:r>
      <w:r w:rsidRPr="0083650B">
        <w:rPr>
          <w:rFonts w:ascii="Times New Roman" w:hAnsi="Times New Roman" w:cs="Times New Roman"/>
          <w:color w:val="000000"/>
        </w:rPr>
        <w:lastRenderedPageBreak/>
        <w:t>бумажном и электронном носителях в Оргкомитет Соревнования и ГСК в течение 5 дней после окончания этапа Соревнования.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II этап: — Межрегиональный этап (октябрь-ноябрь 2016 года)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 xml:space="preserve"> Место проведения</w:t>
      </w:r>
      <w:r w:rsidRPr="0083650B">
        <w:rPr>
          <w:rFonts w:ascii="Times New Roman" w:hAnsi="Times New Roman" w:cs="Times New Roman"/>
          <w:b/>
          <w:color w:val="000000"/>
        </w:rPr>
        <w:tab/>
        <w:t>Сроки проведения</w:t>
      </w:r>
      <w:r w:rsidRPr="0083650B">
        <w:rPr>
          <w:rFonts w:ascii="Times New Roman" w:hAnsi="Times New Roman" w:cs="Times New Roman"/>
          <w:b/>
          <w:color w:val="000000"/>
        </w:rPr>
        <w:tab/>
        <w:t>Возраст участников</w:t>
      </w:r>
      <w:r w:rsidRPr="0083650B">
        <w:rPr>
          <w:rFonts w:ascii="Times New Roman" w:hAnsi="Times New Roman" w:cs="Times New Roman"/>
          <w:b/>
          <w:color w:val="000000"/>
        </w:rPr>
        <w:tab/>
        <w:t>Количество участников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 xml:space="preserve"> СЗФО (Петрозаводск)</w:t>
      </w:r>
      <w:r w:rsidRPr="0083650B">
        <w:rPr>
          <w:rFonts w:ascii="Times New Roman" w:hAnsi="Times New Roman" w:cs="Times New Roman"/>
          <w:color w:val="000000"/>
        </w:rPr>
        <w:tab/>
        <w:t xml:space="preserve"> октябрь-ноябрь </w:t>
      </w:r>
      <w:r w:rsidRPr="0083650B">
        <w:rPr>
          <w:rFonts w:ascii="Times New Roman" w:hAnsi="Times New Roman" w:cs="Times New Roman"/>
          <w:color w:val="000000"/>
        </w:rPr>
        <w:tab/>
        <w:t xml:space="preserve"> 11-12 лет</w:t>
      </w:r>
      <w:r w:rsidRPr="0083650B">
        <w:rPr>
          <w:rFonts w:ascii="Times New Roman" w:hAnsi="Times New Roman" w:cs="Times New Roman"/>
          <w:color w:val="000000"/>
        </w:rPr>
        <w:tab/>
        <w:t xml:space="preserve"> 6 команд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 xml:space="preserve"> ДВФО (Хабаровск)</w:t>
      </w:r>
      <w:r w:rsidRPr="0083650B"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83650B">
        <w:rPr>
          <w:rFonts w:ascii="Times New Roman" w:hAnsi="Times New Roman" w:cs="Times New Roman"/>
          <w:color w:val="000000"/>
        </w:rPr>
        <w:t>октябрь-ноябрь</w:t>
      </w:r>
      <w:r w:rsidRPr="0083650B">
        <w:rPr>
          <w:rFonts w:ascii="Times New Roman" w:hAnsi="Times New Roman" w:cs="Times New Roman"/>
          <w:color w:val="000000"/>
        </w:rPr>
        <w:tab/>
        <w:t xml:space="preserve"> 11-12 лет</w:t>
      </w:r>
      <w:r w:rsidRPr="0083650B">
        <w:rPr>
          <w:rFonts w:ascii="Times New Roman" w:hAnsi="Times New Roman" w:cs="Times New Roman"/>
          <w:color w:val="000000"/>
        </w:rPr>
        <w:tab/>
        <w:t xml:space="preserve"> 4 команды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К участию в межрегиональном этапе допускаются победители региональных этапов в каждом Федеральном округе. Сроки и места проведения межрегиональных этапов определяются Оргкомитетом Соревнования и утверждаются Фондом.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III этап: — Финальный этап (декабрь 2016 года</w:t>
      </w:r>
      <w:r w:rsidRPr="0083650B">
        <w:rPr>
          <w:rFonts w:ascii="Times New Roman" w:hAnsi="Times New Roman" w:cs="Times New Roman"/>
          <w:color w:val="FF0000"/>
        </w:rPr>
        <w:t xml:space="preserve">, Санкт-Петербург или Москва или </w:t>
      </w:r>
      <w:r w:rsidRPr="0083650B">
        <w:rPr>
          <w:rFonts w:ascii="Times New Roman" w:hAnsi="Times New Roman" w:cs="Times New Roman"/>
          <w:color w:val="000000"/>
        </w:rPr>
        <w:t>г. Сочи)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 xml:space="preserve"> Место проведения</w:t>
      </w:r>
      <w:r w:rsidRPr="0083650B">
        <w:rPr>
          <w:rFonts w:ascii="Times New Roman" w:hAnsi="Times New Roman" w:cs="Times New Roman"/>
          <w:b/>
          <w:color w:val="000000"/>
        </w:rPr>
        <w:tab/>
        <w:t>Сроки проведения</w:t>
      </w:r>
      <w:r w:rsidRPr="0083650B">
        <w:rPr>
          <w:rFonts w:ascii="Times New Roman" w:hAnsi="Times New Roman" w:cs="Times New Roman"/>
          <w:b/>
          <w:color w:val="000000"/>
        </w:rPr>
        <w:tab/>
        <w:t>Возраст участников</w:t>
      </w:r>
      <w:r w:rsidRPr="0083650B">
        <w:rPr>
          <w:rFonts w:ascii="Times New Roman" w:hAnsi="Times New Roman" w:cs="Times New Roman"/>
          <w:b/>
          <w:color w:val="000000"/>
        </w:rPr>
        <w:tab/>
        <w:t>Количество участников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 xml:space="preserve"> </w:t>
      </w:r>
      <w:r w:rsidRPr="0083650B">
        <w:rPr>
          <w:rFonts w:ascii="Times New Roman" w:hAnsi="Times New Roman" w:cs="Times New Roman"/>
          <w:color w:val="FF0000"/>
        </w:rPr>
        <w:t>СПб (Москва) Сочи)</w:t>
      </w:r>
      <w:r w:rsidRPr="0083650B">
        <w:rPr>
          <w:rFonts w:ascii="Times New Roman" w:hAnsi="Times New Roman" w:cs="Times New Roman"/>
          <w:color w:val="FF0000"/>
        </w:rPr>
        <w:tab/>
      </w:r>
      <w:r w:rsidRPr="0083650B">
        <w:rPr>
          <w:rFonts w:ascii="Times New Roman" w:hAnsi="Times New Roman" w:cs="Times New Roman"/>
          <w:color w:val="000000"/>
        </w:rPr>
        <w:t xml:space="preserve"> 1-2 декабря </w:t>
      </w:r>
      <w:r w:rsidRPr="0083650B">
        <w:rPr>
          <w:rFonts w:ascii="Times New Roman" w:hAnsi="Times New Roman" w:cs="Times New Roman"/>
          <w:color w:val="000000"/>
        </w:rPr>
        <w:tab/>
        <w:t xml:space="preserve"> 11-12 лет</w:t>
      </w:r>
      <w:r w:rsidRPr="0083650B">
        <w:rPr>
          <w:rFonts w:ascii="Times New Roman" w:hAnsi="Times New Roman" w:cs="Times New Roman"/>
          <w:color w:val="000000"/>
        </w:rPr>
        <w:tab/>
        <w:t xml:space="preserve"> 4 команды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К участию в финальном этапе Соревнования допускаются команды, занявшие 1 и 2 места в межрегиональных этапах в каждом Федеральном округе. Дата и место проведения финального этапа определяются и утверждается Оргкомитетом Соревнования.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4. Участники Соревнования: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4.1. Соревнования на всех этапах проводятся среди команд 2004-2005 г. р.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4.2. К участию в соревновании допускаются хоккеисты (юноши) на один год моложе и девушки, но не старше двух лет от верхней границы возрастного диапазона группы при наличии специального разрешения врача и письменного согласия обоих родителей.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4.3. Численный состав команды на любом этапе Соревнования не должен превышать 19 человек, в том числе 17 игроков, один тренер и один представитель.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4.4. К соревнованию не допускаются: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команды и учащиеся специализированных детско-юношеских спортивных школ, школ олимпийского резерва, школ-центров подготовки при командах КХЛ, ВХЛ и МХЛ;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игроки, заявленные за команды, участвующие в межрегиональных первенствах России, прочих официальных межрегиональных соревнованиях, проводимых Межрегиональными Координационными Центрами ФХР, Открытом Первенстве Москвы и Кубке Федерации хоккея Москвы, а также Открытом Первенстве Санкт-Петербурга и Кубке Федерации хоккея Санкт-Петербурга в сезоне 2015-2016 гг.;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игроки, не имеющие постоянного места жительства по месту регистрации команды. Игроки с временной регистрацией по месту жительства к участию в Соревновании не допускаются.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команды, не оформившие документы согласно настоящего положения.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4.5. В случае подачи заявки командой, принимающей участие в Соревновании, на участие в межрегиональных Первенствах России, прочих официальных межрегиональных соревнованиях, проводимых Межрегиональными Координационными Центрами ФХР, а также Открытом Первенстве Санкт-Петербурга или Кубке Федерации хоккея Санкт-Петербурга в сезоне 2016-2017 гг., такая команда имеет право принимать участие в последующих этапах Соревнования, что свидетельствует о повышении спортивного уровня команды, повышении уровня спортивного мастерства юных хоккеистов и способствует развитию детско-юношеского хоккея в регионе.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4.6. Сроки подачи заявок не позднее 10 дней до начала I этапа соревнования.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4.7. Команды, не предоставившие заявку в установленный срок, до игр не допускаются.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4.8. Заявки и вся прилагаемая к ним документация направляются посредством электронной почты в адрес Оргкомитета Соревнования.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5. Порядок допуска команд к соревнованиям: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5.1. Представители команд обязаны предоставить следующие документы: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согласие на обработку персональных данных (Приложение № 2);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заявку команды в двух экземплярах, (Приложение № 1) где указаны: Ф.И.О., полная дата рождения, место жительства (согласно регистрации), серия и номер свидетельства о рождении;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справка, подтверждающая место жительства (Форма 9);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по требованию (при необходимости) предоставляется оригинал свидетельства о рождении</w:t>
      </w:r>
      <w:r w:rsidRPr="0083650B">
        <w:rPr>
          <w:rFonts w:ascii="Times New Roman" w:hAnsi="Times New Roman" w:cs="Times New Roman"/>
          <w:b/>
          <w:color w:val="000000"/>
        </w:rPr>
        <w:t xml:space="preserve"> </w:t>
      </w:r>
      <w:r w:rsidRPr="0083650B">
        <w:rPr>
          <w:rFonts w:ascii="Times New Roman" w:hAnsi="Times New Roman" w:cs="Times New Roman"/>
          <w:color w:val="000000"/>
        </w:rPr>
        <w:t>на каждого участника;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в обязательном порядке в заявке должен быть допуск врача для каждого участника соревнований;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в электронном виде индивидуальные фотографии хоккеистов на светлом фоне в темных игровых свитерах (без шлемов, нагрудников и защиты шеи). Размер фотографии 480х640 пикселей (вертикальная ориентация). Ширина лица должна быть приблизительно 1/3 ширины фотографии. Формат файла — JPEG. В названии файла должны присутствовать Ф.И.О. игрока (например: Иванов Иван Иванович.JPG).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вся заявочная документация в обязательном порядке направляется в отсканированном с бумажных носителей виде (т. е. имеющая все подписи, печати и т .п.) в формате PDF в Оргкомитет соревнования посредством электронной почты. В дальнейшем при участии команды в межрегиональном и финальном этапах предоставляются оригиналы всей заявочной документации.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5.2. Команды, неправильно оформившие заявку, или изменившие форму заявки, до участия в Соревновании не допускаются.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5.3. При выявлении в команде игрока, несоответствующего требованиям данного положения, команде налагается дисциплинарный штраф в виде дисквалификации команды на следующие сезоны и снятия команды с Соревнования.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 xml:space="preserve">5.4. </w:t>
      </w:r>
      <w:proofErr w:type="spellStart"/>
      <w:r w:rsidRPr="0083650B">
        <w:rPr>
          <w:rFonts w:ascii="Times New Roman" w:hAnsi="Times New Roman" w:cs="Times New Roman"/>
          <w:color w:val="000000"/>
        </w:rPr>
        <w:t>Дозаявки</w:t>
      </w:r>
      <w:proofErr w:type="spellEnd"/>
      <w:r w:rsidRPr="0083650B">
        <w:rPr>
          <w:rFonts w:ascii="Times New Roman" w:hAnsi="Times New Roman" w:cs="Times New Roman"/>
          <w:color w:val="000000"/>
        </w:rPr>
        <w:t xml:space="preserve"> могут осуществляться перед каждым последующим этапом Соревнования. Максимальное число </w:t>
      </w:r>
      <w:proofErr w:type="spellStart"/>
      <w:r w:rsidRPr="0083650B">
        <w:rPr>
          <w:rFonts w:ascii="Times New Roman" w:hAnsi="Times New Roman" w:cs="Times New Roman"/>
          <w:color w:val="000000"/>
        </w:rPr>
        <w:t>дозаявляемых</w:t>
      </w:r>
      <w:proofErr w:type="spellEnd"/>
      <w:r w:rsidRPr="0083650B">
        <w:rPr>
          <w:rFonts w:ascii="Times New Roman" w:hAnsi="Times New Roman" w:cs="Times New Roman"/>
          <w:color w:val="000000"/>
        </w:rPr>
        <w:t xml:space="preserve"> игроков 5 (пять) человек, при этом общее количество игроков в заявке команды не должно превышать 17 человек. Требования к </w:t>
      </w:r>
      <w:proofErr w:type="spellStart"/>
      <w:r w:rsidRPr="0083650B">
        <w:rPr>
          <w:rFonts w:ascii="Times New Roman" w:hAnsi="Times New Roman" w:cs="Times New Roman"/>
          <w:color w:val="000000"/>
        </w:rPr>
        <w:t>дозаявляемым</w:t>
      </w:r>
      <w:proofErr w:type="spellEnd"/>
      <w:r w:rsidRPr="0083650B">
        <w:rPr>
          <w:rFonts w:ascii="Times New Roman" w:hAnsi="Times New Roman" w:cs="Times New Roman"/>
          <w:color w:val="000000"/>
        </w:rPr>
        <w:t xml:space="preserve"> игрокам и необходимой для этого документации аналогичны требованиям к основной заявке на Соревнование. При необходимости может быть осуществлена </w:t>
      </w:r>
      <w:proofErr w:type="spellStart"/>
      <w:r w:rsidRPr="0083650B">
        <w:rPr>
          <w:rFonts w:ascii="Times New Roman" w:hAnsi="Times New Roman" w:cs="Times New Roman"/>
          <w:color w:val="000000"/>
        </w:rPr>
        <w:t>отзаявка</w:t>
      </w:r>
      <w:proofErr w:type="spellEnd"/>
      <w:r w:rsidRPr="0083650B">
        <w:rPr>
          <w:rFonts w:ascii="Times New Roman" w:hAnsi="Times New Roman" w:cs="Times New Roman"/>
          <w:color w:val="000000"/>
        </w:rPr>
        <w:t xml:space="preserve"> соответствующих игроков.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5.5. В случае возникновения прочих вопросов и уточнений по заявочной компании и другим случаям решения принимаются Главным судьей соревнования в рабочем порядке, в том числе посредством телефонной связи и электронной почты.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5.6. Оргкомитет Соревнования оставляет за собой право не допускать к участию в Соревновании команды и игроков, на основании несоответствия уровня спортивной подготовки команд и хоккеистов, спортивному уровню Соревнования.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6.</w:t>
      </w:r>
      <w:r w:rsidRPr="0083650B">
        <w:rPr>
          <w:rFonts w:ascii="Times New Roman" w:hAnsi="Times New Roman" w:cs="Times New Roman"/>
          <w:color w:val="000000"/>
        </w:rPr>
        <w:t xml:space="preserve"> </w:t>
      </w:r>
      <w:r w:rsidRPr="0083650B">
        <w:rPr>
          <w:rFonts w:ascii="Times New Roman" w:hAnsi="Times New Roman" w:cs="Times New Roman"/>
          <w:b/>
          <w:color w:val="000000"/>
        </w:rPr>
        <w:t>Условия проведения соревнований: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6.1. Соревнования проводятся согласно Правилам игры в хоккей, утвержденными Международной федерацией хоккея (IIHF). На всех этапах соревнования проводятся по круговой системе (1 круг). В соответствии с решением Исполкома ФХР хоккеистам до 12 лет (2004 г. р. и младше) запрещено применять силовые приемы. В соответствии с указанным решением, игры всех этапов Соревнования проводятся без силовых приёмов, ввиду участия в Соревновании игроков младшего возраста.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6.2. Продолжительность игры: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на региональном этапе: 3 (три) периода по 20 минут «грязного» времени с перерывами 2 минуты между периодами.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на межрегиональном этапе: 3 (три) периода по 15 минут «чистого» времени с перерывами по 2 минуты между периодами.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на финальном этапе: 3 (три) периода по 15 минут «чистого» времени с перерывами по 2 минуты между периодами.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6.3. Оформление протоколов игры производится только в судейской комнате секретарем игры на бланках установленного образца. Команды обязаны предоставить заявочный лист команды на игру секретарю в судейскую комнату не позднее, чем за 30 минут до начала встречи. В заявке на игру должны быть указаны фамилия, имя, амплуа (в — вратарь, з — защитник, н — нападающий) и номер игрока, (первыми должны быть написаны вратари в порядке возрастания номеров, затем полевые игроки в порядке возрастания номеров, затем Ф.И.О. тренера или представителя команды).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6.4. Тренеры команд несут полную ответственность за принадлежность к коллективу, участвующего в игре игрока. За участие в игре не оформленного в установленном порядке игрока команде засчитываются поражения со счетом 0-5 во всех играх, в которых данный игрок принимал участие.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6.5. Команда обязана иметь два комплекта игровой формы разного цвета. Команда — хозяин выступает в темной форме, гости — в светлой.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6.6. Состав команды определяется Правилами игры. Официально игра может проводиться при наличии не менее 8 игроков, включая вратаря.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6.7. Факт неявки команды на игру устанавливается главным судьей встречи по истечении одного часа (если команда не предупредила о причине задержки заранее) со времени начала игры, команде засчитывается поражение со счетом 0-5, если игра была прекращена из-за недисциплинированного поведения игроков одной из команд, команде также засчитывается поражение со счетом 0-5.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6.8. Тренер и представитель команды не имеют права вмешиваться в действия судей встречи как на площадке, так и за ее пределами.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Тренер и представитель команды несут полную ответственность за поведение игроков на хоккейной площадке и за ее пределами как во время игры, так и после ее окончания. В случае недисциплинированности игроков одной из команд санкции к игрокам и команде будут приняты после рассмотрения на судейской коллегии в присутствии представителя комитета, главного судьи соревнований, судей, обслуживавших данный матч, и представителей игравших команд.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6.9. Принимающие команды (хозяева поля) несут ответственность за общественный порядок и безопасность судей и игроков до, во время и после игры.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6.10. Игры должны проводится на ледовых площадках соответствующих требованиям правил ИИХФ, безопасности участников матча, судей и зрителей.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7. Определение победителей этапов Соревнования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7.1. На каждом этапе проведения Соревнования, места команд определяются по сумме очков, набранных во всех играх. Команде, выигравшей матч, присуждается три очка. Команде, проигравшей матч, очки не засчитываются.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Во всех матчах турнира в случае ничейного результата в основное время игры назначаются послематчевые броски (по 3 броска разными игроками, если победитель не выявлен, до первой заброшенной шайбы по правилам IIHF), победитель матча получает два (2) очка, проигравший — одно (1) очко.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7.2. В случае равенства очков у двух и более команд их места определяются последовательно по следующим показателям: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по результатам игры между собой (число очков, число побед, разность заброшенных шайб);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по наибольшему числу побед в основное время;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по лучшей разности забитых и пропущенных шайб во всех встречах;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по наибольшему числу заброшенных шайб во всех встречах;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по наименьшему числу пропущенных шайб во всех встречах;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7.3. При абсолютном равенстве всех этих показателей проведения соревнований, места команд определяются жребием.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8. Финансирование соревнований: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8.1. Расходы по проведению Соревнования обеспечиваются: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8.1.1. На региональном этапе: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расходы, связанные с награждением участников, — за счет средств СНА «Академия спортивных исследований» (кубки и/или памятные призы/подарки) (здесь и далее по текущему пункту),  Благотворительного фонда Елены и Геннадия Тимченко и Федерации хоккея России;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расходы, связанные с арендой льда, — за счет средств СНА «Академия спортивных исследований»,  Благотворительного фонда Елены и Геннадия Тимченко и Федерации хоккея России;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расходы, связанные с оплатой судейства — за счет средств бюджета субъекта и региональной Федерации хоккея;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расходы, связанные с командированием команд (проезд, проживание, питание) — за счёт средств командирующих организаций.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8.1.2. На межрегиональном этапе: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— расходы, связанные с награждением участников — за счет средств СНА «Академия спортивных исследований» (кубки и/или памятные призы/подарки) Благотворительного фонда Елены и Геннадия Тимченко Федерации хоккея России;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расходы, связанные с арендой льда, — за счет средств СНА «Академия спортивных исследований» Благотворительного фонда Елены и Геннадия Тимченко Федерации хоккея России;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расходы, связанные с оплатой судейства, — за счет средств СНА «Академия спортивных исследований» Благотворительного фонда Елены и Геннадия Тимченко Федерации хоккея России;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расходы, связанные с командированием команд (проезд, проживание, питание), — за счет средств СНА «Академия спортивных исследований» Благотворительного фонда Елены и Геннадия Тимченко Федерации хоккея России.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8.1.3. На финальном этапе: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расходы, связанные с награждением победителей, призёров и участников, — за счет средств СНА «Академия спортивных исследований» Благотворительного фонда Елены и Геннадия Тимченко Федерации хоккея России;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расходы, связанные с арендой льда, — за счет средств СНА «Академия спортивных исследований» Благотворительного фонда Елены и Геннадия Тимченко Федерации хоккея России;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расходы, связанные с оплатой судейства, — за счет средств СНА «Академия спортивных исследований» Благотворительного фонда Елены и Геннадия Тимченко Федерации хоккея России;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расходы, связанные с командированием команд (проезд, проживание, питание) — за счет средств СНА «Академия спортивных исследований» Благотворительного фонда Елены и Геннадия Тимченко Федерации хоккея России.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9. Судейство Соревнования: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9.1. Судейство Соревнования осуществляется судьями, рекомендованными и утвержденными региональными коллегиями судей под руководством главного судьи соревнований.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9.2. Если, по мнению судей встречи, цвета формы игроков совпадает, что мешает нормальному проведению игры, команда — хозяин меняет цвет игровой формы.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9.3. После окончания игры тренер или представитель команд обязан в течении 15 минут подписать официальный протокол игры.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9.4. Дирекция ледовой арены и принимающая сторона обязаны исключить присутствие в судейской комнате посторонних лиц. Кроме судей, обслуживающих игру, в судейскую комнату разрешается входить Главному судье Соревнования, представителям Оргкомитета, а также лицам при необходимости приглашенным главным судьей.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9.5. Представители играющих команд могут войти в судейскую комнату и обратиться к судьям только с разрешения главного судьи.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9.6. Если при проведении игры имели место удаления игроков, связанные с их последующей дисквалификацией, травмой игроков, а также нарушения порядка на стадионе, главный судья встречи должен внести это в официальный протокол игры (на обратной его стороне).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10. Протесты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 xml:space="preserve">10.1. Подача протестов предусмотрена только на участие в игре в составе команды соперника хоккеиста, не соответствующего требованиям настоящего Положения, отсутствующего в заявке команды на Соревнование или на дисквалифицированного игрока и в соответствии с дисквалификацией не имеющего права принимать участие в игре. Тренер команды по окончании игры немедленно обязан предупредить судью о подаче протеста, сделать соответствующую запись на обратной стороне официального протокола игры. Кроме слов </w:t>
      </w:r>
      <w:r w:rsidRPr="0083650B">
        <w:rPr>
          <w:rFonts w:ascii="Times New Roman" w:hAnsi="Times New Roman" w:cs="Times New Roman"/>
          <w:b/>
          <w:color w:val="000000"/>
        </w:rPr>
        <w:t>«</w:t>
      </w:r>
      <w:r w:rsidRPr="0083650B">
        <w:rPr>
          <w:rFonts w:ascii="Times New Roman" w:hAnsi="Times New Roman" w:cs="Times New Roman"/>
          <w:color w:val="000000"/>
        </w:rPr>
        <w:t>КОМАНДА ПОДАЕТ ПРОТЕСТ НА УЧАСТИЕ В ИГРЕ В СОСТАВЕ КОМАНДЫ “…” (ФАМИЛИЯ, ИМЯ, № …,)</w:t>
      </w:r>
      <w:r w:rsidRPr="0083650B">
        <w:rPr>
          <w:rFonts w:ascii="Times New Roman" w:hAnsi="Times New Roman" w:cs="Times New Roman"/>
          <w:b/>
          <w:color w:val="000000"/>
        </w:rPr>
        <w:t>»</w:t>
      </w:r>
      <w:r w:rsidRPr="0083650B">
        <w:rPr>
          <w:rFonts w:ascii="Times New Roman" w:hAnsi="Times New Roman" w:cs="Times New Roman"/>
          <w:color w:val="000000"/>
        </w:rPr>
        <w:t xml:space="preserve"> в протокол никакая другая запись не заносится. Сам протест должен быть направлен главному судье Соревнования в течение 24 часов после окончания игры в отсканированном с бумажного носителя виде (т. е. имеющем подписи, печати и т. п.) Главному судье Соревнования. При необходимости должны быть приложены документы, подтверждающие неправомерность участия хоккеиста в игре. При подаче протеста на участие в игре хоккеиста под чужой фамилией должны в обязательном порядке быть приложены документы, подтверждающие проведение процедуры выявления данного факта (фотография игрока в майке с видимым игровым номером, произведенная сразу же после игры и прочие доказательства). Все протесты в обязательном порядке должны быть зафиксированы лицом, ответственным за проведение Соревнования в соответствующем регионе, и должны направляться Главному судье соревнований исключительно данным ответственным лицом.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10.2. Не принимаются к рассмотрению протесты: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несвоевременно поданные и факт намерения подачи, которые не зафиксированы в протоколе матча;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не содержащие четкой формулировки сути протеста и минимального объема фактов и доказательств, необходимых для возможности принятия решения по протесту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10.3. Протесты на качество судейства, а также на решения, принятые судьями при проведении игры не принимаются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11. Награждение: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11.1. Команды и игроки команд, участвующих в Соревновании, на каждом этапе награждаются следующими призами: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11.1.1. На региональном этапе: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Команда-победитель регионального этапа награждается Кубком победителя регионального этапа Соревнования. Игроки всех команд, участвующих в этапе Соревнования, награждаются памятными призами участника этапа Соревнования.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11.1.2. На межрегиональном этапе: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Команды, занявшие первое и второе место в межрегиональных этапах Соревнования, награждаются Кубками участников финального этапа Соревнования. Игроки всех команд, участвующих в этапе Соревнования, награждаются памятными призами участника этапа Соревнования.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11.1.3. На финальном этапе: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Команды, занявшие 1, 2 и 3 место по итогам финального этапа, награждаются Кубками и дипломами. Игроки команд награждаются медалями соответствующего достоинства. Все игроки команд, участвующих в финальном этапе, награждаются памятными призами.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- По окончании финального этапа Соревнования специальными призами награждаются 5 лучших игроков по номинациям: лучший вратарь, лучший защитник, лучший нападающий, лучший бомбардир и лучший игрок.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11.2. На каждом этапе Соревнования организатор этапа имеет право учреждать дополнительные призы в различных номинациях.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12.</w:t>
      </w:r>
      <w:r w:rsidRPr="0083650B">
        <w:rPr>
          <w:rFonts w:cs="Arial"/>
          <w:b/>
          <w:color w:val="000000"/>
        </w:rPr>
        <w:tab/>
      </w:r>
      <w:r w:rsidRPr="0083650B">
        <w:rPr>
          <w:rFonts w:ascii="Times New Roman" w:hAnsi="Times New Roman" w:cs="Times New Roman"/>
          <w:b/>
          <w:color w:val="000000"/>
        </w:rPr>
        <w:t>Обеспечение безопасности участников и зрителей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утвержденной приказом Министерства спорта Российской Федерации от "26" ноября 2014 г. №948 и разработанной в соответствии с пунктом 13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 (Собрание законодательства Российской Федерации, 2014, №18, ст.2194).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Участие в соревнованиях осуществляется только при наличии полиса страхования жизни и здоровья от несчастных случаев (оригинала),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613-н «Об утверждении порядка оказания медицинской помощи при проведении физкультурных и спортивных мероприятий».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Ответственность за обеспечение безопасности при проведении региональных и межрегиональных этапах турнира несут организаторы турнира на местах.</w:t>
      </w: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Pr="0083650B" w:rsidRDefault="00DE3DDA" w:rsidP="00DE3DDA">
      <w:pPr>
        <w:rPr>
          <w:rFonts w:ascii="Times New Roman" w:hAnsi="Times New Roman" w:cs="Times New Roman"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E3DDA" w:rsidRDefault="00DE3DDA" w:rsidP="00DE3DDA">
      <w:pPr>
        <w:rPr>
          <w:rFonts w:ascii="Times New Roman" w:hAnsi="Times New Roman" w:cs="Times New Roman"/>
          <w:b/>
          <w:i/>
          <w:color w:val="000000"/>
        </w:rPr>
      </w:pPr>
    </w:p>
    <w:p w:rsidR="00D65225" w:rsidRDefault="00D65225">
      <w:bookmarkStart w:id="0" w:name="_GoBack"/>
      <w:bookmarkEnd w:id="0"/>
    </w:p>
    <w:sectPr w:rsidR="00D65225" w:rsidSect="00197F09">
      <w:pgSz w:w="11900" w:h="16840"/>
      <w:pgMar w:top="1134" w:right="992" w:bottom="81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DA"/>
    <w:rsid w:val="00197F09"/>
    <w:rsid w:val="005055EB"/>
    <w:rsid w:val="009B0A8A"/>
    <w:rsid w:val="00B26E7B"/>
    <w:rsid w:val="00D65225"/>
    <w:rsid w:val="00DE3DDA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F9E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D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D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3155</Words>
  <Characters>17988</Characters>
  <Application>Microsoft Macintosh Word</Application>
  <DocSecurity>0</DocSecurity>
  <Lines>149</Lines>
  <Paragraphs>42</Paragraphs>
  <ScaleCrop>false</ScaleCrop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1</cp:revision>
  <dcterms:created xsi:type="dcterms:W3CDTF">2016-04-05T18:25:00Z</dcterms:created>
  <dcterms:modified xsi:type="dcterms:W3CDTF">2016-04-05T18:36:00Z</dcterms:modified>
</cp:coreProperties>
</file>